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205-6k_hub.htm"/>
      <w:bookmarkStart w:id="1" w:name="ksea03002056k_hub"/>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6-K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month of August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HUB Cyber Security Ltd.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(Translation of registrant’s name into English)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Hacharoshet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Yehuda,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+972-3-924-4074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Regain of Compliance with a Continued Listing Rule or Standard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Hub Cyber Security Ltd. (the “Company”) received written notice from the Listing Qualifications Department of The Nasdaq Stock Market LLC (the “Staff”) confirming that the Company regained compliance with the Market Value of Listed Securities (“MVLS”) requirement, as set forth in Nasdaq Listing Rule 5550(b)(2) for continued listing on the Nasdaq Capital Market, and the matter is now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the Company was notified by the Nasdaq Stock Market LLC on January 21, 2026, that it was not in compliance with the MVLS requirement because it failed to maintain a minimum MVLS of $35 million over the previous 30 consecutive business days. Since then, the Staff has determined that for the last 20 consecutive business days, from July 2, 2026 to July 30, 2026, the Company’s market value of listed securities has been $35 million or greater. Accordingly, the Company has regained compliance with the MVLS requirement, and this matter is now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Company issued a press release announcing that it has regained compliance with the Nasdaq MVLS requirement. A copy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is being furnished and shall not be deemed “filed” for the purposes of Section 18 of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28" w:type="dxa"/>
          <w:right w:w="0" w:type="dxa"/>
        </w:tblCellMar>
      </w:tblPr>
      <w:tblGrid>
        <w:gridCol w:w="995"/>
        <w:gridCol w:w="60"/>
        <w:gridCol w:w="2900"/>
      </w:tblGrid>
      <w:tr>
        <w:trPr/>
        <w:tc>
          <w:tcPr>
            <w:tcW w:w="995" w:type="dxa"/>
            <w:tcBorders>
              <w:bottom w:val="single" w:sz="12" w:space="0" w:color="000000"/>
            </w:tcBorders>
            <w:vAlign w:val="center"/>
          </w:tcPr>
          <w:p>
            <w:pPr>
              <w:pStyle w:val="TableContents"/>
              <w:bidi w:val="0"/>
              <w:spacing w:before="0" w:after="283"/>
              <w:jc w:val="center"/>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2900"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2960" w:type="dxa"/>
            <w:gridSpan w:val="2"/>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center"/>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hyperlink w:anchor="ea030020501ex99-1.htm">
              <w:r>
                <w:rPr>
                  <w:rStyle w:val="InternetLink"/>
                  <w:sz w:val="20"/>
                </w:rPr>
                <w:t>Press Release dated August 3,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3975" w:type="dxa"/>
        <w:jc w:val="left"/>
        <w:tblInd w:w="0" w:type="dxa"/>
        <w:tblLayout w:type="fixed"/>
        <w:tblCellMar>
          <w:top w:w="0" w:type="dxa"/>
          <w:left w:w="0" w:type="dxa"/>
          <w:bottom w:w="0" w:type="dxa"/>
          <w:right w:w="0" w:type="dxa"/>
        </w:tblCellMar>
      </w:tblPr>
      <w:tblGrid>
        <w:gridCol w:w="1760"/>
        <w:gridCol w:w="320"/>
        <w:gridCol w:w="1895"/>
      </w:tblGrid>
      <w:tr>
        <w:trPr/>
        <w:tc>
          <w:tcPr>
            <w:tcW w:w="1760"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left"/>
              <w:rPr>
                <w:b/>
                <w:sz w:val="20"/>
              </w:rPr>
            </w:pPr>
            <w:r>
              <w:rPr>
                <w:b/>
                <w:sz w:val="20"/>
              </w:rPr>
              <w:t>HUB Cyber Security Ltd.</w:t>
            </w:r>
          </w:p>
        </w:tc>
      </w:tr>
      <w:tr>
        <w:trPr/>
        <w:tc>
          <w:tcPr>
            <w:tcW w:w="1760" w:type="dxa"/>
            <w:tcBorders/>
            <w:vAlign w:val="center"/>
          </w:tcPr>
          <w:p>
            <w:pPr>
              <w:pStyle w:val="TableContents"/>
              <w:bidi w:val="0"/>
              <w:spacing w:before="0" w:after="283"/>
              <w:jc w:val="center"/>
              <w:rPr/>
            </w:pPr>
            <w:r>
              <w:rPr/>
              <w:t> </w:t>
            </w:r>
          </w:p>
        </w:tc>
        <w:tc>
          <w:tcPr>
            <w:tcW w:w="2215" w:type="dxa"/>
            <w:gridSpan w:val="2"/>
            <w:tcBorders/>
            <w:vAlign w:val="center"/>
          </w:tcPr>
          <w:p>
            <w:pPr>
              <w:pStyle w:val="TableContents"/>
              <w:bidi w:val="0"/>
              <w:spacing w:before="0" w:after="283"/>
              <w:jc w:val="center"/>
              <w:rPr/>
            </w:pPr>
            <w:r>
              <w:rPr/>
              <w:t> </w:t>
            </w:r>
          </w:p>
        </w:tc>
      </w:tr>
      <w:tr>
        <w:trPr/>
        <w:tc>
          <w:tcPr>
            <w:tcW w:w="1760" w:type="dxa"/>
            <w:tcBorders/>
            <w:vAlign w:val="center"/>
          </w:tcPr>
          <w:p>
            <w:pPr>
              <w:pStyle w:val="TableContents"/>
              <w:bidi w:val="0"/>
              <w:spacing w:before="0" w:after="283"/>
              <w:jc w:val="left"/>
              <w:rPr>
                <w:sz w:val="20"/>
              </w:rPr>
            </w:pPr>
            <w:r>
              <w:rPr>
                <w:sz w:val="20"/>
              </w:rPr>
              <w:t>Date: August 3, 2026</w:t>
            </w:r>
          </w:p>
        </w:tc>
        <w:tc>
          <w:tcPr>
            <w:tcW w:w="320"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Limor Zur-Stoller</w:t>
            </w:r>
          </w:p>
        </w:tc>
      </w:tr>
      <w:tr>
        <w:trPr/>
        <w:tc>
          <w:tcPr>
            <w:tcW w:w="1760" w:type="dxa"/>
            <w:tcBorders/>
            <w:vAlign w:val="center"/>
          </w:tcPr>
          <w:p>
            <w:pPr>
              <w:pStyle w:val="TableContents"/>
              <w:bidi w:val="0"/>
              <w:spacing w:before="0" w:after="283"/>
              <w:jc w:val="center"/>
              <w:rPr/>
            </w:pPr>
            <w:r>
              <w:rPr/>
              <w:t> </w:t>
            </w:r>
          </w:p>
        </w:tc>
        <w:tc>
          <w:tcPr>
            <w:tcW w:w="32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left"/>
              <w:rPr>
                <w:sz w:val="20"/>
              </w:rPr>
            </w:pPr>
            <w:r>
              <w:rPr>
                <w:sz w:val="20"/>
              </w:rPr>
              <w:t>Limor Zur-Stoller</w:t>
            </w:r>
          </w:p>
        </w:tc>
      </w:tr>
      <w:tr>
        <w:trPr/>
        <w:tc>
          <w:tcPr>
            <w:tcW w:w="1760" w:type="dxa"/>
            <w:tcBorders/>
            <w:vAlign w:val="center"/>
          </w:tcPr>
          <w:p>
            <w:pPr>
              <w:pStyle w:val="TableContents"/>
              <w:bidi w:val="0"/>
              <w:spacing w:before="0" w:after="283"/>
              <w:jc w:val="center"/>
              <w:rPr/>
            </w:pPr>
            <w:r>
              <w:rPr/>
              <w:t> </w:t>
            </w:r>
          </w:p>
        </w:tc>
        <w:tc>
          <w:tcPr>
            <w:tcW w:w="32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 w:name="ea030020501ex99-1.htm"/>
      <w:bookmarkStart w:id="3" w:name="ksea030020501ex991"/>
      <w:bookmarkEnd w:id="2"/>
      <w:bookmarkEnd w:id="3"/>
      <w:r>
        <w:rPr>
          <w:rFonts w:ascii="Times New Roman;Times;Serif" w:hAnsi="Times New Roman;Times;Serif"/>
          <w:b/>
          <w:i w:val="false"/>
          <w:caps w:val="false"/>
          <w:smallCaps w:val="false"/>
          <w:sz w:val="20"/>
        </w:rPr>
        <w:t>Exhibit 99.1</w:t>
      </w:r>
      <w:r>
        <w:br w:type="page"/>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Security Regains Full Compliance with Nasdaq Listing Requirements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Nasdaq letter confirms that HUB Security has satisfied the applicable continued-listing requirement and closed the matter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Aviv, Israel</w:t>
      </w:r>
      <w:r>
        <w:rPr>
          <w:rFonts w:ascii="Times New Roman;Times;Serif" w:hAnsi="Times New Roman;Times;Serif"/>
          <w:b w:val="false"/>
          <w:i w:val="false"/>
          <w:caps w:val="false"/>
          <w:smallCaps w:val="false"/>
          <w:sz w:val="20"/>
        </w:rPr>
        <w:t>, August 3, 2026 (GLOBE NEWSWIRE) – </w:t>
      </w:r>
      <w:r>
        <w:rPr>
          <w:rFonts w:ascii="Times New Roman;Times;Serif" w:hAnsi="Times New Roman;Times;Serif"/>
          <w:b/>
          <w:i w:val="false"/>
          <w:caps w:val="false"/>
          <w:smallCaps w:val="false"/>
          <w:sz w:val="20"/>
        </w:rPr>
        <w:t>Hub Cyber Security Ltd.</w:t>
      </w:r>
      <w:r>
        <w:rPr>
          <w:rFonts w:ascii="Times New Roman;Times;Serif" w:hAnsi="Times New Roman;Times;Serif"/>
          <w:b w:val="false"/>
          <w:i w:val="false"/>
          <w:caps w:val="false"/>
          <w:smallCaps w:val="false"/>
          <w:sz w:val="20"/>
        </w:rPr>
        <w:t> (Nasdaq: HUBC) (“HUB” or the “Company”), today announced that it has regained compliance with Nasdaq’s Market Value of Listed Securities (“MVLS”) requirement.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the Company received formal written notice from the Listing Qualifications Department of The Nasdaq Stock Market LLC (the “Staff”) confirming that the Company had regained compliance with Nasdaq Listing Rule 5550(b)(2), which requires listed companies to maintain an MVLS of at least $35 million. Nasdaq further confirmed that the matter is now closed.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compliance determination follows a sustained improvement in the Company’s market value. Nasdaq determined that HUB’s MVLS had remained at or above the required $35 million threshold for the last 20 consecutive business days, from July 2, 2026 through July 31, 2026. As previously reported, on January 21, 2026, the Staff notified the Company that it was not in compliance with the MVLS requirement after the Company’s MVLS remained below $35 million for the prior 30 consecutive business days. The Company has now fully cured the deficiency.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Regaining compliance represents an important milestone for HUB and reflects the Company’s continued efforts to strengthen its public-market position while advancing its broader strategic, operational and financial transformation.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Regaining compliance with Nasdaq’s continued listing requirements marks another important step forward for HUB,” said Renah Persofsky, Chairperson of HUB’s Board of Directors. “We remain focused on executing our transformation strategy, strengthening the Company’s financial and operational foundation, and building sustainable long-term value for our shareholders. With this matter now closed, we can continue directing our efforts toward the Company’s strategic priorities and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or inquiries, please contact: info@hubsecurity.com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HUB Cyber Security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Cyber Security Ltd. (Nasdaq: HUBC) has operated in confidential computing, AI-driven data fabric, and cybersecurity. HUB’s Secured Data Fabric (SDF) has historically empowered organizations to virtualize, secure, and analyze sensitive data across borders and silos generating real-time intelligence while meeting the highest regulatory standards. HUB is currently implementing a comprehensive restructuring, during which its Board of Directors and management team have taken steps to improve liquidity, simplify the Company’s organizational structure, cut operating costs and strengthen corporate governance. The Board of Directors continues to explore various strategic alternatives intended to maximize value for shareholders and position HUB for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for purposes of the safe harbor provisions under the United States Private Securities Litigation Reform Act of 1995.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are based on the current expectations of the management of HUB,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discussed and identified in public filings made with the SEC by HUB and the following: (i) the Company’s ability to meet stock exchange continued listing standards and remain listed on the Nasdaq; (ii) significant uncertainty regarding the adequacy of HUB’s liquidity and capital resources and its ability to repay its obligations as they become due; (iii) the war between Israel and Hamas commenced in October 2023 and the ensuing military action with Hezbollah and Iran, which may harm Israel’s economy and HUB’s business; (iv) expectations regarding HUB’s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HUB’s ability to invest in growth initiatives and pursue acquisition opportunities; (v) the outcome of any legal or regulatory proceedings against HUB in connection with our previously announced internal investigation or otherwise; (vi) competition, the ability of HUB to grow and manage growth profitably, maintain relationships with customers and suppliers and retain its management and key employees; (vii) limited liquidity and trading of HUB’s securities; (viii) geopolitical risk, including military action and related sanctions, and changes in applicable laws or regulations; (ix) the possibility that HUB may be adversely affected by other economic, business, and/or competitive factors; (x) the absence of a CEO since April 1, 2026, and (xi) other risks and uncertainties set forth in the sections entitled “Risk Factors” and “Cautionary Statement Regarding Forward-Looking Statements” in HUB’s Annual Report on Form 20-F filed on 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by the management of HUB Security prove incorrect, actual results may vary in material respects from those expressed or implied in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written and oral forward-looking statements concerning the business combination or other matters addressed in this press release and attributable to HUB Security or any person acting on their behalf are expressly qualified in their entirety by the cautionary statements contained or referred to in the press release. Except to the extent required by applicable law or regulation, HUB Security undertakes no obligation to update these forward-looking statements to reflect events or circumstances after the date of this press release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1427</Words>
  <Characters>8213</Characters>
  <CharactersWithSpaces>9679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